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D64" w:rsidRPr="005A5801" w:rsidRDefault="00365D64" w:rsidP="00365D64">
      <w:pPr>
        <w:ind w:left="5940"/>
      </w:pPr>
      <w:r>
        <w:t>П</w:t>
      </w:r>
      <w:r w:rsidRPr="005A5801">
        <w:t>остановлени</w:t>
      </w:r>
      <w:r>
        <w:t>е</w:t>
      </w:r>
    </w:p>
    <w:p w:rsidR="00365D64" w:rsidRPr="005A5801" w:rsidRDefault="00365D64" w:rsidP="00365D64">
      <w:pPr>
        <w:ind w:left="5940"/>
      </w:pPr>
      <w:r w:rsidRPr="005A5801">
        <w:t>администрации Балаковского</w:t>
      </w:r>
    </w:p>
    <w:p w:rsidR="00365D64" w:rsidRPr="005A5801" w:rsidRDefault="00365D64" w:rsidP="00365D64">
      <w:pPr>
        <w:ind w:left="5940"/>
        <w:rPr>
          <w:b/>
        </w:rPr>
      </w:pPr>
      <w:r w:rsidRPr="005A5801">
        <w:t>муниципального района</w:t>
      </w:r>
      <w:r>
        <w:t xml:space="preserve"> от 20.09.2021г. №3238</w:t>
      </w:r>
    </w:p>
    <w:p w:rsidR="00365D64" w:rsidRDefault="00365D64" w:rsidP="00365D64">
      <w:pPr>
        <w:shd w:val="clear" w:color="auto" w:fill="FFFFFF"/>
        <w:jc w:val="center"/>
        <w:rPr>
          <w:sz w:val="28"/>
          <w:szCs w:val="28"/>
          <w:lang w:eastAsia="ar-SA"/>
        </w:rPr>
      </w:pPr>
    </w:p>
    <w:p w:rsidR="00365D64" w:rsidRDefault="00365D64" w:rsidP="00365D64">
      <w:pPr>
        <w:shd w:val="clear" w:color="auto" w:fill="FFFFFF"/>
        <w:jc w:val="center"/>
        <w:rPr>
          <w:sz w:val="28"/>
          <w:szCs w:val="28"/>
          <w:lang w:eastAsia="ar-SA"/>
        </w:rPr>
      </w:pPr>
    </w:p>
    <w:p w:rsidR="00365D64" w:rsidRPr="00CE7CEC" w:rsidRDefault="00365D64" w:rsidP="00365D64">
      <w:pPr>
        <w:shd w:val="clear" w:color="auto" w:fill="FFFFFF"/>
        <w:jc w:val="center"/>
        <w:rPr>
          <w:b/>
          <w:sz w:val="28"/>
          <w:szCs w:val="28"/>
          <w:lang w:eastAsia="ar-SA"/>
        </w:rPr>
      </w:pPr>
      <w:r w:rsidRPr="00CE7CEC">
        <w:rPr>
          <w:sz w:val="28"/>
          <w:szCs w:val="28"/>
          <w:lang w:eastAsia="ar-SA"/>
        </w:rPr>
        <w:t>«</w:t>
      </w:r>
      <w:r w:rsidRPr="00CE7CEC">
        <w:rPr>
          <w:b/>
          <w:bCs/>
          <w:sz w:val="28"/>
          <w:szCs w:val="28"/>
          <w:lang w:eastAsia="ar-SA"/>
        </w:rPr>
        <w:t>8.1. Паспорт подпрограммы 1</w:t>
      </w:r>
    </w:p>
    <w:p w:rsidR="00365D64" w:rsidRPr="00CE7CEC" w:rsidRDefault="00365D64" w:rsidP="00365D64">
      <w:pPr>
        <w:shd w:val="clear" w:color="auto" w:fill="FFFFFF"/>
        <w:jc w:val="center"/>
        <w:rPr>
          <w:b/>
          <w:bCs/>
          <w:sz w:val="28"/>
          <w:szCs w:val="28"/>
          <w:lang w:eastAsia="ar-SA"/>
        </w:rPr>
      </w:pPr>
      <w:r w:rsidRPr="00CE7CEC">
        <w:rPr>
          <w:b/>
          <w:bCs/>
          <w:sz w:val="28"/>
          <w:szCs w:val="28"/>
          <w:lang w:eastAsia="ar-SA"/>
        </w:rPr>
        <w:t>«Предоставление субсидии на обеспечение деятельности</w:t>
      </w:r>
    </w:p>
    <w:p w:rsidR="00365D64" w:rsidRPr="00CE7CEC" w:rsidRDefault="00365D64" w:rsidP="00365D64">
      <w:pPr>
        <w:shd w:val="clear" w:color="auto" w:fill="FFFFFF"/>
        <w:jc w:val="center"/>
        <w:rPr>
          <w:b/>
          <w:bCs/>
          <w:sz w:val="28"/>
          <w:szCs w:val="28"/>
          <w:lang w:eastAsia="ar-SA"/>
        </w:rPr>
      </w:pPr>
      <w:r w:rsidRPr="00CE7CEC">
        <w:rPr>
          <w:b/>
          <w:bCs/>
          <w:sz w:val="28"/>
          <w:szCs w:val="28"/>
          <w:lang w:eastAsia="ar-SA"/>
        </w:rPr>
        <w:t xml:space="preserve">муниципальных </w:t>
      </w:r>
      <w:proofErr w:type="spellStart"/>
      <w:proofErr w:type="gramStart"/>
      <w:r w:rsidRPr="00CE7CEC">
        <w:rPr>
          <w:b/>
          <w:bCs/>
          <w:sz w:val="28"/>
          <w:szCs w:val="28"/>
          <w:lang w:eastAsia="ar-SA"/>
        </w:rPr>
        <w:t>бизнес-инкубаторов</w:t>
      </w:r>
      <w:proofErr w:type="spellEnd"/>
      <w:proofErr w:type="gramEnd"/>
      <w:r w:rsidRPr="00CE7CEC">
        <w:rPr>
          <w:b/>
          <w:bCs/>
          <w:sz w:val="28"/>
          <w:szCs w:val="28"/>
          <w:lang w:eastAsia="ar-SA"/>
        </w:rPr>
        <w:t>»</w:t>
      </w:r>
    </w:p>
    <w:p w:rsidR="00365D64" w:rsidRPr="00CE7CEC" w:rsidRDefault="00365D64" w:rsidP="00365D64">
      <w:pPr>
        <w:shd w:val="clear" w:color="auto" w:fill="FFFFFF"/>
        <w:jc w:val="center"/>
        <w:rPr>
          <w:b/>
          <w:bCs/>
          <w:sz w:val="28"/>
          <w:szCs w:val="28"/>
          <w:lang w:eastAsia="ar-SA"/>
        </w:rPr>
      </w:pPr>
      <w:r w:rsidRPr="00CE7CEC">
        <w:rPr>
          <w:b/>
          <w:bCs/>
          <w:sz w:val="28"/>
          <w:szCs w:val="28"/>
          <w:lang w:eastAsia="ar-SA"/>
        </w:rPr>
        <w:t>муниципальной программы «Повышение инвестиционной привлекательности и развитие экономического потенциала Балаковского муниципального района»</w:t>
      </w:r>
    </w:p>
    <w:p w:rsidR="00365D64" w:rsidRPr="008D08F2" w:rsidRDefault="00365D64" w:rsidP="00365D64">
      <w:pPr>
        <w:shd w:val="clear" w:color="auto" w:fill="FFFFFF"/>
        <w:jc w:val="both"/>
        <w:rPr>
          <w:b/>
          <w:bCs/>
          <w:sz w:val="20"/>
          <w:szCs w:val="20"/>
          <w:lang w:eastAsia="ar-S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408"/>
      </w:tblGrid>
      <w:tr w:rsidR="00365D64" w:rsidRPr="00CE7CEC" w:rsidTr="000F49E9">
        <w:trPr>
          <w:trHeight w:val="20"/>
        </w:trPr>
        <w:tc>
          <w:tcPr>
            <w:tcW w:w="3420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b/>
                <w:lang w:val="en-US" w:eastAsia="ar-SA"/>
              </w:rPr>
            </w:pPr>
            <w:r w:rsidRPr="00CE7CEC">
              <w:rPr>
                <w:b/>
                <w:bCs/>
                <w:lang w:eastAsia="ar-SA"/>
              </w:rPr>
              <w:t xml:space="preserve">Наименование подпрограммы </w:t>
            </w:r>
            <w:r w:rsidRPr="00CE7CEC">
              <w:rPr>
                <w:b/>
                <w:bCs/>
                <w:lang w:val="en-US" w:eastAsia="ar-SA"/>
              </w:rPr>
              <w:t>1</w:t>
            </w:r>
          </w:p>
        </w:tc>
        <w:tc>
          <w:tcPr>
            <w:tcW w:w="6408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lang w:eastAsia="ar-SA"/>
              </w:rPr>
              <w:t xml:space="preserve">Предоставление субсидии на обеспечение деятельности </w:t>
            </w:r>
            <w:proofErr w:type="gramStart"/>
            <w:r w:rsidRPr="00CE7CEC">
              <w:rPr>
                <w:lang w:eastAsia="ar-SA"/>
              </w:rPr>
              <w:t>муниципальных</w:t>
            </w:r>
            <w:proofErr w:type="gramEnd"/>
            <w:r w:rsidRPr="00CE7CEC">
              <w:rPr>
                <w:lang w:eastAsia="ar-SA"/>
              </w:rPr>
              <w:t xml:space="preserve"> </w:t>
            </w:r>
            <w:proofErr w:type="spellStart"/>
            <w:r w:rsidRPr="00CE7CEC">
              <w:rPr>
                <w:lang w:eastAsia="ar-SA"/>
              </w:rPr>
              <w:t>бизнес-инкубаторов</w:t>
            </w:r>
            <w:proofErr w:type="spellEnd"/>
            <w:r w:rsidRPr="00CE7CEC">
              <w:rPr>
                <w:lang w:eastAsia="ar-SA"/>
              </w:rPr>
              <w:t xml:space="preserve"> (далее – подпрограмма 1)</w:t>
            </w:r>
          </w:p>
        </w:tc>
      </w:tr>
      <w:tr w:rsidR="00365D64" w:rsidRPr="00CE7CEC" w:rsidTr="000F49E9">
        <w:trPr>
          <w:trHeight w:val="20"/>
        </w:trPr>
        <w:tc>
          <w:tcPr>
            <w:tcW w:w="3420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b/>
                <w:lang w:val="en-US" w:eastAsia="ar-SA"/>
              </w:rPr>
            </w:pPr>
            <w:r w:rsidRPr="00CE7CEC">
              <w:rPr>
                <w:b/>
                <w:bCs/>
                <w:lang w:eastAsia="ar-SA"/>
              </w:rPr>
              <w:t xml:space="preserve">Ответственный </w:t>
            </w:r>
            <w:r w:rsidRPr="00CE7CEC">
              <w:rPr>
                <w:rFonts w:ascii="Times New Roman Полужирный" w:hAnsi="Times New Roman Полужирный"/>
                <w:b/>
                <w:bCs/>
                <w:spacing w:val="-6"/>
                <w:lang w:eastAsia="ar-SA"/>
              </w:rPr>
              <w:t>исполнитель подпрограммы</w:t>
            </w:r>
            <w:r w:rsidRPr="00CE7CEC">
              <w:rPr>
                <w:rFonts w:ascii="Times New Roman Полужирный" w:hAnsi="Times New Roman Полужирный"/>
                <w:b/>
                <w:bCs/>
                <w:spacing w:val="-6"/>
                <w:lang w:val="en-US" w:eastAsia="ar-SA"/>
              </w:rPr>
              <w:t xml:space="preserve"> 1</w:t>
            </w:r>
          </w:p>
        </w:tc>
        <w:tc>
          <w:tcPr>
            <w:tcW w:w="6408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lang w:eastAsia="ar-SA"/>
              </w:rPr>
              <w:t>комитет по распоряжению муниципальной собственностью и земельными ресурсами администрации Балаковского муниципального района</w:t>
            </w:r>
          </w:p>
        </w:tc>
      </w:tr>
      <w:tr w:rsidR="00365D64" w:rsidRPr="00CE7CEC" w:rsidTr="000F49E9">
        <w:trPr>
          <w:trHeight w:val="20"/>
        </w:trPr>
        <w:tc>
          <w:tcPr>
            <w:tcW w:w="3420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rFonts w:ascii="Times New Roman Полужирный" w:hAnsi="Times New Roman Полужирный"/>
                <w:b/>
                <w:bCs/>
                <w:spacing w:val="-6"/>
                <w:lang w:val="en-US" w:eastAsia="ar-SA"/>
              </w:rPr>
            </w:pPr>
            <w:r w:rsidRPr="00CE7CEC">
              <w:rPr>
                <w:rFonts w:ascii="Times New Roman Полужирный" w:hAnsi="Times New Roman Полужирный"/>
                <w:b/>
                <w:bCs/>
                <w:spacing w:val="-6"/>
                <w:lang w:eastAsia="ar-SA"/>
              </w:rPr>
              <w:t>Участники подпрограммы</w:t>
            </w:r>
            <w:r w:rsidRPr="00CE7CEC">
              <w:rPr>
                <w:rFonts w:ascii="Times New Roman Полужирный" w:hAnsi="Times New Roman Полужирный"/>
                <w:b/>
                <w:bCs/>
                <w:spacing w:val="-6"/>
                <w:lang w:val="en-US" w:eastAsia="ar-SA"/>
              </w:rPr>
              <w:t xml:space="preserve"> 1</w:t>
            </w:r>
          </w:p>
        </w:tc>
        <w:tc>
          <w:tcPr>
            <w:tcW w:w="6408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lang w:eastAsia="ar-SA"/>
              </w:rPr>
              <w:t>МАУ «Бизнес-инкубатор БМР»</w:t>
            </w:r>
          </w:p>
        </w:tc>
      </w:tr>
      <w:tr w:rsidR="00365D64" w:rsidRPr="00CE7CEC" w:rsidTr="000F49E9">
        <w:trPr>
          <w:trHeight w:val="20"/>
        </w:trPr>
        <w:tc>
          <w:tcPr>
            <w:tcW w:w="3420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b/>
                <w:bCs/>
                <w:lang w:eastAsia="ar-SA"/>
              </w:rPr>
            </w:pPr>
            <w:r w:rsidRPr="00CE7CEC">
              <w:rPr>
                <w:b/>
                <w:bCs/>
                <w:lang w:eastAsia="ar-SA"/>
              </w:rPr>
              <w:t>Цели подпрограммы</w:t>
            </w:r>
            <w:r w:rsidRPr="00CE7CEC">
              <w:rPr>
                <w:b/>
                <w:bCs/>
                <w:lang w:val="en-US" w:eastAsia="ar-SA"/>
              </w:rPr>
              <w:t xml:space="preserve"> 1</w:t>
            </w:r>
          </w:p>
        </w:tc>
        <w:tc>
          <w:tcPr>
            <w:tcW w:w="6408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lang w:eastAsia="ar-SA"/>
              </w:rPr>
              <w:t>Создание новых и развитие действующих организаций инфраструктуры поддержки малого и среднего предпринимательства</w:t>
            </w:r>
          </w:p>
        </w:tc>
      </w:tr>
      <w:tr w:rsidR="00365D64" w:rsidRPr="00CE7CEC" w:rsidTr="000F49E9">
        <w:trPr>
          <w:trHeight w:val="20"/>
        </w:trPr>
        <w:tc>
          <w:tcPr>
            <w:tcW w:w="3420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b/>
                <w:bCs/>
                <w:lang w:eastAsia="ar-SA"/>
              </w:rPr>
            </w:pPr>
            <w:r w:rsidRPr="00CE7CEC">
              <w:rPr>
                <w:b/>
                <w:bCs/>
                <w:lang w:eastAsia="ar-SA"/>
              </w:rPr>
              <w:t>Задачи подпрограммы</w:t>
            </w:r>
            <w:r w:rsidRPr="00CE7CEC">
              <w:rPr>
                <w:b/>
                <w:bCs/>
                <w:lang w:val="en-US" w:eastAsia="ar-SA"/>
              </w:rPr>
              <w:t xml:space="preserve"> 1</w:t>
            </w:r>
          </w:p>
        </w:tc>
        <w:tc>
          <w:tcPr>
            <w:tcW w:w="6408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lang w:eastAsia="ar-SA"/>
              </w:rPr>
              <w:t xml:space="preserve">1. Создание благоприятной внешней среды </w:t>
            </w:r>
            <w:r w:rsidRPr="00CE7CEC">
              <w:rPr>
                <w:lang w:eastAsia="ar-SA"/>
              </w:rPr>
              <w:br/>
              <w:t>для развития предпринимательства;</w:t>
            </w:r>
          </w:p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bCs/>
                <w:lang w:eastAsia="ar-SA"/>
              </w:rPr>
              <w:t xml:space="preserve">2. Пропаганда легального предпринимательства </w:t>
            </w:r>
            <w:r w:rsidRPr="00CE7CEC">
              <w:rPr>
                <w:bCs/>
                <w:lang w:eastAsia="ar-SA"/>
              </w:rPr>
              <w:br/>
              <w:t>и формирования положительного имиджа предпринимателя</w:t>
            </w:r>
          </w:p>
        </w:tc>
      </w:tr>
      <w:tr w:rsidR="00365D64" w:rsidRPr="00CE7CEC" w:rsidTr="000F49E9">
        <w:trPr>
          <w:trHeight w:val="20"/>
        </w:trPr>
        <w:tc>
          <w:tcPr>
            <w:tcW w:w="3420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b/>
                <w:bCs/>
                <w:lang w:eastAsia="ar-SA"/>
              </w:rPr>
            </w:pPr>
            <w:r w:rsidRPr="00CE7CEC">
              <w:rPr>
                <w:b/>
                <w:bCs/>
                <w:lang w:eastAsia="ar-SA"/>
              </w:rPr>
              <w:t>Целевые показатели подпрограммы</w:t>
            </w:r>
            <w:r w:rsidRPr="00CE7CEC">
              <w:rPr>
                <w:b/>
                <w:bCs/>
                <w:lang w:val="en-US" w:eastAsia="ar-SA"/>
              </w:rPr>
              <w:t xml:space="preserve"> 1</w:t>
            </w:r>
          </w:p>
        </w:tc>
        <w:tc>
          <w:tcPr>
            <w:tcW w:w="6408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spacing w:val="-10"/>
                <w:lang w:eastAsia="ar-SA"/>
              </w:rPr>
              <w:t>1. </w:t>
            </w:r>
            <w:proofErr w:type="gramStart"/>
            <w:r w:rsidRPr="00CE7CEC">
              <w:rPr>
                <w:spacing w:val="-10"/>
                <w:lang w:eastAsia="ar-SA"/>
              </w:rPr>
              <w:t>Количество субъектов малого предпринимательства,</w:t>
            </w:r>
            <w:r w:rsidRPr="00CE7CEC">
              <w:rPr>
                <w:lang w:eastAsia="ar-SA"/>
              </w:rPr>
              <w:t xml:space="preserve"> а также физических лиц, применяющих специальный налоговый режим «Налог на профессиональный доход», получивших имущественную поддержку (субъекты малого предпринимательства и физические лица, применяющие </w:t>
            </w:r>
            <w:r w:rsidRPr="00CE7CEC">
              <w:rPr>
                <w:spacing w:val="-10"/>
                <w:lang w:eastAsia="ar-SA"/>
              </w:rPr>
              <w:t>специальный налоговый режим «Налог на профессиональный</w:t>
            </w:r>
            <w:r w:rsidRPr="00CE7CEC">
              <w:rPr>
                <w:lang w:eastAsia="ar-SA"/>
              </w:rPr>
              <w:t xml:space="preserve"> доход», прошедшие конкурсный </w:t>
            </w:r>
            <w:r w:rsidRPr="00CE7CEC">
              <w:rPr>
                <w:spacing w:val="-6"/>
                <w:lang w:eastAsia="ar-SA"/>
              </w:rPr>
              <w:t>отбор на право льготной аренды нежилых помещений) -</w:t>
            </w:r>
            <w:r w:rsidRPr="00CE7CEC">
              <w:rPr>
                <w:lang w:eastAsia="ar-SA"/>
              </w:rPr>
              <w:t xml:space="preserve"> 30 единиц ежегодно;</w:t>
            </w:r>
            <w:proofErr w:type="gramEnd"/>
          </w:p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spacing w:val="-14"/>
                <w:lang w:eastAsia="ar-SA"/>
              </w:rPr>
              <w:t>2. Количество субъектов малого и среднего предпринимательства,</w:t>
            </w:r>
            <w:r w:rsidRPr="00CE7CEC">
              <w:rPr>
                <w:spacing w:val="-6"/>
                <w:lang w:eastAsia="ar-SA"/>
              </w:rPr>
              <w:t xml:space="preserve"> </w:t>
            </w:r>
            <w:r>
              <w:rPr>
                <w:spacing w:val="-6"/>
                <w:lang w:eastAsia="ar-SA"/>
              </w:rPr>
              <w:br/>
            </w:r>
            <w:r w:rsidRPr="00CE7CEC">
              <w:rPr>
                <w:spacing w:val="-6"/>
                <w:lang w:eastAsia="ar-SA"/>
              </w:rPr>
              <w:t>а также физических лиц</w:t>
            </w:r>
            <w:r w:rsidRPr="00CE7CEC">
              <w:rPr>
                <w:lang w:eastAsia="ar-SA"/>
              </w:rPr>
              <w:t>, применяющих специальный налоговый режим «Налог на профессиональный доход»</w:t>
            </w:r>
            <w:r w:rsidRPr="00CE7CEC">
              <w:rPr>
                <w:spacing w:val="-6"/>
                <w:lang w:eastAsia="ar-SA"/>
              </w:rPr>
              <w:t>, получивших консультационную</w:t>
            </w:r>
            <w:r w:rsidRPr="00CE7CEC">
              <w:rPr>
                <w:lang w:eastAsia="ar-SA"/>
              </w:rPr>
              <w:t xml:space="preserve"> поддержку - 420 единиц ежегодно;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lang w:eastAsia="ar-SA"/>
              </w:rPr>
            </w:pPr>
            <w:r w:rsidRPr="00CE7CEC">
              <w:rPr>
                <w:lang w:eastAsia="ar-SA"/>
              </w:rPr>
              <w:t xml:space="preserve">3. Количество вновь созданных рабочих мест резидентами </w:t>
            </w:r>
            <w:proofErr w:type="spellStart"/>
            <w:proofErr w:type="gramStart"/>
            <w:r w:rsidRPr="00CE7CEC">
              <w:rPr>
                <w:lang w:eastAsia="ar-SA"/>
              </w:rPr>
              <w:t>бизнес-инкубатора</w:t>
            </w:r>
            <w:proofErr w:type="spellEnd"/>
            <w:proofErr w:type="gramEnd"/>
            <w:r w:rsidRPr="00CE7CEC">
              <w:rPr>
                <w:lang w:eastAsia="ar-SA"/>
              </w:rPr>
              <w:t xml:space="preserve"> - 40 мест ежегодно</w:t>
            </w:r>
          </w:p>
        </w:tc>
      </w:tr>
      <w:tr w:rsidR="00365D64" w:rsidRPr="00CE7CEC" w:rsidTr="000F49E9">
        <w:trPr>
          <w:trHeight w:val="20"/>
        </w:trPr>
        <w:tc>
          <w:tcPr>
            <w:tcW w:w="3420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rPr>
                <w:b/>
                <w:bCs/>
                <w:lang w:eastAsia="ar-SA"/>
              </w:rPr>
            </w:pPr>
            <w:r w:rsidRPr="00CE7CEC">
              <w:rPr>
                <w:b/>
                <w:bCs/>
                <w:lang w:eastAsia="ar-SA"/>
              </w:rPr>
              <w:t>Сроки и этапы реализации подпрограммы 1</w:t>
            </w:r>
          </w:p>
        </w:tc>
        <w:tc>
          <w:tcPr>
            <w:tcW w:w="6408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lang w:eastAsia="ar-SA"/>
              </w:rPr>
              <w:t xml:space="preserve">Реализация подпрограммы 1 рассчитана на период </w:t>
            </w:r>
            <w:r w:rsidRPr="00CE7CEC">
              <w:rPr>
                <w:lang w:eastAsia="ar-SA"/>
              </w:rPr>
              <w:br/>
              <w:t>с 2017 года по 2023 год</w:t>
            </w:r>
          </w:p>
        </w:tc>
      </w:tr>
      <w:tr w:rsidR="00365D64" w:rsidRPr="00CE7CEC" w:rsidTr="000F49E9">
        <w:trPr>
          <w:trHeight w:val="20"/>
        </w:trPr>
        <w:tc>
          <w:tcPr>
            <w:tcW w:w="3420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rPr>
                <w:b/>
                <w:bCs/>
                <w:lang w:eastAsia="ar-SA"/>
              </w:rPr>
            </w:pPr>
            <w:r w:rsidRPr="00CE7CEC">
              <w:rPr>
                <w:b/>
                <w:bCs/>
                <w:lang w:eastAsia="ar-SA"/>
              </w:rPr>
              <w:t>Объем и источники финансового обеспечения подпрограммы 1 (по годам)</w:t>
            </w:r>
          </w:p>
        </w:tc>
        <w:tc>
          <w:tcPr>
            <w:tcW w:w="6408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jc w:val="both"/>
              <w:rPr>
                <w:lang w:eastAsia="ar-SA"/>
              </w:rPr>
            </w:pPr>
            <w:r w:rsidRPr="00CE7CEC">
              <w:rPr>
                <w:lang w:eastAsia="ar-SA"/>
              </w:rPr>
              <w:t>Общий объем финансирования на 2017-2023 годы составляет 60 551,63</w:t>
            </w:r>
            <w:r w:rsidRPr="00CE7CEC">
              <w:rPr>
                <w:bCs/>
                <w:lang w:eastAsia="ar-SA"/>
              </w:rPr>
              <w:t xml:space="preserve"> тыс. руб.</w:t>
            </w:r>
            <w:r w:rsidRPr="00CE7CEC">
              <w:rPr>
                <w:lang w:eastAsia="ar-SA"/>
              </w:rPr>
              <w:t>, из них: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- 36 055,40 тыс. руб. - средства областного бюджета,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- 11 454,00 тыс. руб. - средства бюджета БМР,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 xml:space="preserve">- 13 042,23 тыс. руб. – привлеченные средства </w:t>
            </w:r>
            <w:r w:rsidRPr="00CE7CEC">
              <w:rPr>
                <w:rFonts w:eastAsia="Arial"/>
                <w:bCs/>
                <w:lang w:eastAsia="ar-SA"/>
              </w:rPr>
              <w:br/>
              <w:t>из внебюджетных источников.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По годам: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/>
                <w:bCs/>
                <w:lang w:eastAsia="ar-SA"/>
              </w:rPr>
              <w:lastRenderedPageBreak/>
              <w:t>2017 год</w:t>
            </w:r>
            <w:r w:rsidRPr="00CE7CEC">
              <w:rPr>
                <w:rFonts w:eastAsia="Arial"/>
                <w:bCs/>
                <w:lang w:eastAsia="ar-SA"/>
              </w:rPr>
              <w:t xml:space="preserve"> – 8 206,43 тыс. руб., из них: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- 4 860,00 тыс. руб. - средства областного бюджета;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- 1 534,33 тыс. руб. - средства бюджета БМР;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 xml:space="preserve">- 1 812,10 тыс. руб. - привлеченные средства </w:t>
            </w:r>
            <w:r w:rsidRPr="00CE7CEC">
              <w:rPr>
                <w:rFonts w:eastAsia="Arial"/>
                <w:bCs/>
                <w:lang w:eastAsia="ar-SA"/>
              </w:rPr>
              <w:br/>
              <w:t>из внебюджетных источников.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/>
                <w:bCs/>
                <w:lang w:eastAsia="ar-SA"/>
              </w:rPr>
              <w:t>2018 год</w:t>
            </w:r>
            <w:r w:rsidRPr="00CE7CEC">
              <w:rPr>
                <w:rFonts w:eastAsia="Arial"/>
                <w:bCs/>
                <w:lang w:eastAsia="ar-SA"/>
              </w:rPr>
              <w:t xml:space="preserve"> – 8 241,69 тыс. руб., из них: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- 4 860,00 тыс. руб. - средства областного бюджета;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- 1 549,10 тыс. руб. - средства бюджета БМР;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 xml:space="preserve">- 1 832,59,00 тыс. руб. - привлеченные средства </w:t>
            </w:r>
            <w:r w:rsidRPr="00CE7CEC">
              <w:rPr>
                <w:rFonts w:eastAsia="Arial"/>
                <w:bCs/>
                <w:lang w:eastAsia="ar-SA"/>
              </w:rPr>
              <w:br/>
              <w:t>из внебюджетных источников.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/>
                <w:bCs/>
                <w:lang w:eastAsia="ar-SA"/>
              </w:rPr>
              <w:t>2019 год</w:t>
            </w:r>
            <w:r w:rsidRPr="00CE7CEC">
              <w:rPr>
                <w:rFonts w:eastAsia="Arial"/>
                <w:bCs/>
                <w:lang w:eastAsia="ar-SA"/>
              </w:rPr>
              <w:t xml:space="preserve"> – 8 819,32 тыс. руб., из них: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- 5 135,40 тыс. руб. - средства областного бюджета;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- 1 549,10 тыс. руб. - средства бюджета БМР;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 xml:space="preserve">- 2 134,82 тыс. руб. - привлеченные средства </w:t>
            </w:r>
            <w:r w:rsidRPr="00CE7CEC">
              <w:rPr>
                <w:rFonts w:eastAsia="Arial"/>
                <w:bCs/>
                <w:lang w:eastAsia="ar-SA"/>
              </w:rPr>
              <w:br/>
              <w:t>из внебюджетных источников.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/>
                <w:bCs/>
                <w:lang w:eastAsia="ar-SA"/>
              </w:rPr>
              <w:t>2020 год</w:t>
            </w:r>
            <w:r w:rsidRPr="00CE7CEC">
              <w:rPr>
                <w:rFonts w:eastAsia="Arial"/>
                <w:bCs/>
                <w:lang w:eastAsia="ar-SA"/>
              </w:rPr>
              <w:t xml:space="preserve"> – 8 712,56 тыс. руб., из них: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- 5 300,00 тыс. руб. - средства областного бюджета;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- 1 519,00 тыс. руб. - средства бюджета БМР;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 xml:space="preserve">- 1 893,56 тыс. руб. - привлеченные средства </w:t>
            </w:r>
            <w:r w:rsidRPr="00CE7CEC">
              <w:rPr>
                <w:rFonts w:eastAsia="Arial"/>
                <w:bCs/>
                <w:lang w:eastAsia="ar-SA"/>
              </w:rPr>
              <w:br/>
              <w:t>из внебюджетных источников.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/>
                <w:bCs/>
                <w:lang w:eastAsia="ar-SA"/>
              </w:rPr>
              <w:t>2021 год</w:t>
            </w:r>
            <w:r w:rsidRPr="00CE7CEC">
              <w:rPr>
                <w:rFonts w:eastAsia="Arial"/>
                <w:bCs/>
                <w:lang w:eastAsia="ar-SA"/>
              </w:rPr>
              <w:t xml:space="preserve"> – 8 989,03 тыс. руб., из них: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- 5 300,00 тыс. руб. - средства областного бюджета;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- 1 719,87 тыс. руб. - средства бюджета БМР;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 xml:space="preserve">- 1 969,16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E7CE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/>
                <w:bCs/>
                <w:lang w:eastAsia="ar-SA"/>
              </w:rPr>
              <w:t>2022 год</w:t>
            </w:r>
            <w:r w:rsidRPr="00CE7CEC">
              <w:rPr>
                <w:rFonts w:eastAsia="Arial"/>
                <w:bCs/>
                <w:lang w:eastAsia="ar-SA"/>
              </w:rPr>
              <w:t xml:space="preserve"> – 8 766,70 тыс. руб., из них: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- 5 300,00 тыс. руб. - средства областного бюджета;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- 1 766,70 тыс. руб. - средства бюджета БМР;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 xml:space="preserve">- 1 700,00 тыс. руб.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CE7CEC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/>
                <w:bCs/>
                <w:lang w:eastAsia="ar-SA"/>
              </w:rPr>
              <w:t>2023 год</w:t>
            </w:r>
            <w:r w:rsidRPr="00CE7CEC">
              <w:rPr>
                <w:rFonts w:eastAsia="Arial"/>
                <w:bCs/>
                <w:lang w:eastAsia="ar-SA"/>
              </w:rPr>
              <w:t xml:space="preserve"> – 8 815,90 тыс. руб., из них: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- 5 300,00 тыс. руб. - средства областного бюджета;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>- 1 815,90 тыс. руб. - средства бюджета БМР;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CE7CEC">
              <w:rPr>
                <w:rFonts w:eastAsia="Arial"/>
                <w:bCs/>
                <w:lang w:eastAsia="ar-SA"/>
              </w:rPr>
              <w:t xml:space="preserve">- 1 700,00 тыс. руб. - привлеченные средства </w:t>
            </w:r>
            <w:r w:rsidRPr="00CE7CEC">
              <w:rPr>
                <w:rFonts w:eastAsia="Arial"/>
                <w:bCs/>
                <w:lang w:eastAsia="ar-SA"/>
              </w:rPr>
              <w:br/>
              <w:t>из внебюджетных источников.</w:t>
            </w:r>
          </w:p>
        </w:tc>
      </w:tr>
      <w:tr w:rsidR="00365D64" w:rsidRPr="00CE7CEC" w:rsidTr="000F49E9">
        <w:trPr>
          <w:trHeight w:val="20"/>
        </w:trPr>
        <w:tc>
          <w:tcPr>
            <w:tcW w:w="3420" w:type="dxa"/>
            <w:shd w:val="clear" w:color="auto" w:fill="auto"/>
          </w:tcPr>
          <w:p w:rsidR="00365D64" w:rsidRPr="00CE7CEC" w:rsidRDefault="00365D64" w:rsidP="000F49E9">
            <w:pPr>
              <w:shd w:val="clear" w:color="auto" w:fill="FFFFFF"/>
              <w:rPr>
                <w:b/>
                <w:bCs/>
                <w:lang w:val="en-US" w:eastAsia="ar-SA"/>
              </w:rPr>
            </w:pPr>
            <w:r w:rsidRPr="00CE7CEC">
              <w:rPr>
                <w:b/>
                <w:bCs/>
                <w:lang w:eastAsia="ar-SA"/>
              </w:rPr>
              <w:lastRenderedPageBreak/>
              <w:t>Ожидаемые</w:t>
            </w:r>
            <w:r w:rsidRPr="00CE7CEC">
              <w:rPr>
                <w:b/>
                <w:lang w:eastAsia="ar-SA"/>
              </w:rPr>
              <w:t xml:space="preserve"> </w:t>
            </w:r>
            <w:r w:rsidRPr="00CE7CEC">
              <w:rPr>
                <w:b/>
                <w:bCs/>
                <w:lang w:eastAsia="ar-SA"/>
              </w:rPr>
              <w:t>результаты реализации</w:t>
            </w:r>
            <w:r w:rsidRPr="00CE7CEC">
              <w:rPr>
                <w:b/>
                <w:lang w:eastAsia="ar-SA"/>
              </w:rPr>
              <w:t xml:space="preserve"> под</w:t>
            </w:r>
            <w:r w:rsidRPr="00CE7CEC">
              <w:rPr>
                <w:b/>
                <w:bCs/>
                <w:lang w:eastAsia="ar-SA"/>
              </w:rPr>
              <w:t>программы</w:t>
            </w:r>
            <w:r w:rsidRPr="00CE7CEC">
              <w:rPr>
                <w:b/>
                <w:bCs/>
                <w:lang w:val="en-US" w:eastAsia="ar-SA"/>
              </w:rPr>
              <w:t xml:space="preserve"> 1</w:t>
            </w:r>
          </w:p>
        </w:tc>
        <w:tc>
          <w:tcPr>
            <w:tcW w:w="6408" w:type="dxa"/>
            <w:shd w:val="clear" w:color="auto" w:fill="auto"/>
          </w:tcPr>
          <w:p w:rsidR="00365D64" w:rsidRPr="00CE7CEC" w:rsidRDefault="00365D64" w:rsidP="000F49E9">
            <w:pPr>
              <w:snapToGrid w:val="0"/>
              <w:jc w:val="both"/>
              <w:rPr>
                <w:spacing w:val="-8"/>
                <w:lang w:eastAsia="ar-SA"/>
              </w:rPr>
            </w:pPr>
            <w:proofErr w:type="gramStart"/>
            <w:r w:rsidRPr="00CE7CEC">
              <w:rPr>
                <w:spacing w:val="-10"/>
                <w:lang w:eastAsia="ar-SA"/>
              </w:rPr>
              <w:t>- увеличение количества субъектов малого предпринимательства,</w:t>
            </w:r>
            <w:r w:rsidRPr="00CE7CEC">
              <w:rPr>
                <w:lang w:eastAsia="ar-SA"/>
              </w:rPr>
              <w:t xml:space="preserve"> а также физических лиц, применяющих специальный налоговый режим «Налог на профессиональный доход»,</w:t>
            </w:r>
            <w:r w:rsidRPr="00CE7CEC">
              <w:rPr>
                <w:spacing w:val="-8"/>
                <w:lang w:eastAsia="ar-SA"/>
              </w:rPr>
              <w:t xml:space="preserve"> получивших имущественную поддержку (субъекты малого предпринимательства, </w:t>
            </w:r>
            <w:r w:rsidRPr="00CE7CEC">
              <w:rPr>
                <w:lang w:eastAsia="ar-SA"/>
              </w:rPr>
              <w:t xml:space="preserve">а также физические лица, применяющие специальный налоговый режим «Налог </w:t>
            </w:r>
            <w:r>
              <w:rPr>
                <w:lang w:eastAsia="ar-SA"/>
              </w:rPr>
              <w:br/>
            </w:r>
            <w:r w:rsidRPr="00CE7CEC">
              <w:rPr>
                <w:lang w:eastAsia="ar-SA"/>
              </w:rPr>
              <w:t xml:space="preserve">на профессиональный доход», </w:t>
            </w:r>
            <w:r w:rsidRPr="00CE7CEC">
              <w:rPr>
                <w:spacing w:val="-8"/>
                <w:lang w:eastAsia="ar-SA"/>
              </w:rPr>
              <w:t>прошедшие конкурсный отбор на право льготной аренды нежилых помещений);</w:t>
            </w:r>
            <w:proofErr w:type="gramEnd"/>
          </w:p>
          <w:p w:rsidR="00365D64" w:rsidRPr="00CE7CEC" w:rsidRDefault="00365D64" w:rsidP="000F49E9">
            <w:pPr>
              <w:snapToGrid w:val="0"/>
              <w:jc w:val="both"/>
              <w:rPr>
                <w:lang w:eastAsia="ar-SA"/>
              </w:rPr>
            </w:pPr>
            <w:r w:rsidRPr="00CE7CEC">
              <w:rPr>
                <w:spacing w:val="-10"/>
                <w:lang w:eastAsia="ar-SA"/>
              </w:rPr>
              <w:t>- увеличение субъектами малого предпринимательства,</w:t>
            </w:r>
            <w:r w:rsidRPr="00CE7CEC">
              <w:rPr>
                <w:lang w:eastAsia="ar-SA"/>
              </w:rPr>
              <w:t xml:space="preserve"> получившими имущественную поддержку, количества вновь созданных рабочих мест;</w:t>
            </w:r>
          </w:p>
          <w:p w:rsidR="00365D64" w:rsidRPr="00CE7CEC" w:rsidRDefault="00365D64" w:rsidP="000F49E9">
            <w:pPr>
              <w:snapToGrid w:val="0"/>
              <w:jc w:val="both"/>
              <w:rPr>
                <w:lang w:eastAsia="ar-SA"/>
              </w:rPr>
            </w:pPr>
            <w:r w:rsidRPr="00CE7CEC">
              <w:rPr>
                <w:lang w:eastAsia="ar-SA"/>
              </w:rPr>
              <w:t>-</w:t>
            </w:r>
            <w:r>
              <w:rPr>
                <w:lang w:eastAsia="ar-SA"/>
              </w:rPr>
              <w:t> </w:t>
            </w:r>
            <w:r w:rsidRPr="00CE7CEC">
              <w:rPr>
                <w:lang w:eastAsia="ar-SA"/>
              </w:rPr>
              <w:t xml:space="preserve">увеличение количества субъектов малого и среднего предпринимательства, а также физических лиц, применяющих специальный налоговый режим «Налог </w:t>
            </w:r>
            <w:r>
              <w:rPr>
                <w:lang w:eastAsia="ar-SA"/>
              </w:rPr>
              <w:br/>
            </w:r>
            <w:r w:rsidRPr="00CE7CEC">
              <w:rPr>
                <w:lang w:eastAsia="ar-SA"/>
              </w:rPr>
              <w:t>на профессиональный доход», получивших консультационную поддержку</w:t>
            </w:r>
            <w:r>
              <w:rPr>
                <w:lang w:eastAsia="ar-SA"/>
              </w:rPr>
              <w:t>.</w:t>
            </w:r>
          </w:p>
        </w:tc>
      </w:tr>
    </w:tbl>
    <w:p w:rsidR="005632AB" w:rsidRDefault="005632AB"/>
    <w:sectPr w:rsidR="005632AB" w:rsidSect="00563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D64"/>
    <w:rsid w:val="000F4696"/>
    <w:rsid w:val="00365D64"/>
    <w:rsid w:val="005632AB"/>
    <w:rsid w:val="006E3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</dc:creator>
  <cp:lastModifiedBy>bsz</cp:lastModifiedBy>
  <cp:revision>1</cp:revision>
  <dcterms:created xsi:type="dcterms:W3CDTF">2021-11-02T05:15:00Z</dcterms:created>
  <dcterms:modified xsi:type="dcterms:W3CDTF">2021-11-02T05:19:00Z</dcterms:modified>
</cp:coreProperties>
</file>