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DDD" w:rsidRPr="0043320E" w:rsidRDefault="00017BED" w:rsidP="001C1F1D">
      <w:pPr>
        <w:spacing w:after="0" w:line="220" w:lineRule="atLeast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r w:rsidR="001C1F1D">
        <w:rPr>
          <w:rFonts w:ascii="Times New Roman" w:hAnsi="Times New Roman" w:cs="Times New Roman"/>
          <w:b/>
          <w:sz w:val="24"/>
          <w:szCs w:val="24"/>
        </w:rPr>
        <w:t xml:space="preserve">распределения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BED">
        <w:rPr>
          <w:rFonts w:ascii="Times New Roman" w:hAnsi="Times New Roman" w:cs="Times New Roman"/>
          <w:b/>
          <w:sz w:val="24"/>
          <w:szCs w:val="24"/>
        </w:rPr>
        <w:t>дотации на выравнивание бюджетной обеспеченности поселений Балаковского муниципального района из районного фонда финансовой поддержки поселений за счет средств субвенции на исполнение государственных полномочий по расчету и предоставлению дотаций бюджетам поселений</w:t>
      </w:r>
      <w:r w:rsidR="001C1F1D">
        <w:rPr>
          <w:rFonts w:ascii="Times New Roman" w:hAnsi="Times New Roman" w:cs="Times New Roman"/>
          <w:b/>
          <w:sz w:val="24"/>
          <w:szCs w:val="24"/>
        </w:rPr>
        <w:t>, утвержденная  законом Саратовской области от 20.12.2005т года № 137-ЗСО «О межбюджетных отношениях в Саратовской облас</w:t>
      </w:r>
      <w:r w:rsidR="0088241C">
        <w:rPr>
          <w:rFonts w:ascii="Times New Roman" w:hAnsi="Times New Roman" w:cs="Times New Roman"/>
          <w:b/>
          <w:sz w:val="24"/>
          <w:szCs w:val="24"/>
        </w:rPr>
        <w:t>т</w:t>
      </w:r>
      <w:r w:rsidR="001C1F1D">
        <w:rPr>
          <w:rFonts w:ascii="Times New Roman" w:hAnsi="Times New Roman" w:cs="Times New Roman"/>
          <w:b/>
          <w:sz w:val="24"/>
          <w:szCs w:val="24"/>
        </w:rPr>
        <w:t>и»</w:t>
      </w:r>
    </w:p>
    <w:p w:rsidR="007A1DDD" w:rsidRPr="0043320E" w:rsidRDefault="007A1DDD" w:rsidP="007A1DDD">
      <w:pPr>
        <w:spacing w:after="0" w:line="22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84A0D" w:rsidRPr="0043320E" w:rsidRDefault="00C84A0D" w:rsidP="007A1DDD">
      <w:pPr>
        <w:spacing w:after="0" w:line="220" w:lineRule="atLeas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b/>
          <w:sz w:val="24"/>
          <w:szCs w:val="24"/>
        </w:rPr>
        <w:t>Статья 6. Выравнивание уровня бюджетной обеспеченности поселений за счет средств областного бюджета</w:t>
      </w:r>
    </w:p>
    <w:p w:rsidR="00C84A0D" w:rsidRPr="0043320E" w:rsidRDefault="00C84A0D" w:rsidP="007A1DDD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"/>
      <w:bookmarkEnd w:id="0"/>
      <w:r w:rsidRPr="0043320E">
        <w:rPr>
          <w:rFonts w:ascii="Times New Roman" w:hAnsi="Times New Roman" w:cs="Times New Roman"/>
          <w:sz w:val="24"/>
          <w:szCs w:val="24"/>
        </w:rPr>
        <w:t xml:space="preserve">1. В составе областного бюджета предусматриваются средства на выравнивание финансовых возможностей поселений (включая городские округа) по осуществлению органами местного самоуправления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полномочий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исходя из численности жителей. Право на получение указанных средств имеют все поселения, за исключением поселений, указанных в части 1 статьи 15 настоящего Закона.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Объем средств на выравнивание финансовых возможностей поселений (включая городские округа) по осуществлению органами местного самоуправления полномочий по решению вопросов местного значения определяется исходя из необходимости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достижения критериев выравнивания финансовых возможностей поселений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по осуществлению органами местного самоуправления поселений полномочий по решению вопросов местного значения. Указанные критерии для городских и сельских поселений принимаются равными одному значению, определяемому в соответствии с приложением 1 к настоящему Закону, и устанавливаются законом области об областном бюджете.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Средства, указанные в части 1 настоящей статьи, предоставляются в форме дотаций на выравнивание бюджетной обеспеченности поселений из областного бюджета бюджетам городских округов в соответствии со статьей 7 настоящего Закона, из бюджетов муниципальных районов бюджетам поселений, входящих в состав муниципальных районов, - за счет субвенций из областного бюджета в соответствии со статьей 8 настоящего Закона.</w:t>
      </w:r>
      <w:proofErr w:type="gramEnd"/>
    </w:p>
    <w:p w:rsidR="00C84A0D" w:rsidRPr="0043320E" w:rsidRDefault="00C84A0D" w:rsidP="007A1DDD">
      <w:pPr>
        <w:spacing w:after="0" w:line="220" w:lineRule="atLeast"/>
        <w:ind w:firstLine="54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84A0D" w:rsidRPr="0043320E" w:rsidRDefault="00C84A0D" w:rsidP="007A1DDD">
      <w:pPr>
        <w:spacing w:after="0" w:line="220" w:lineRule="atLeast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b/>
          <w:sz w:val="24"/>
          <w:szCs w:val="24"/>
        </w:rPr>
        <w:t>Статья 8. Наделение органов местного самоуправления муниципальных районов области полномочиями органов государственной власти области по расчету и предоставлению дотаций поселениям за счет средств областного бюджета</w:t>
      </w:r>
    </w:p>
    <w:p w:rsidR="00C84A0D" w:rsidRPr="0043320E" w:rsidRDefault="00C84A0D" w:rsidP="007A1DDD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1. Настоящим Законом органы местного самоуправления муниципальных районов области наделяются полномочиями органов государственной власти области по расчету и предоставлению дотаций бюджетам поселений за счет средств областного бюджета с целью выравнивания финансовых возможностей поселений по осуществлению органами местного самоуправления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полномочий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по решению вопросов местного значения исходя из численности жителей.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2. Средства на реализацию передаваемых полномочий, указанных в части 1 настоящей статьи, предусматриваются в областном бюджете в виде субвенций. Субвенции, полученные бюджетом муниципального района на исполнение переданных государственных полномочий по расчету и предоставлению дотаций бюджетам поселений за счет средств областного бюджета, включаются в дотации на выравнивание бюджетной обеспеченности поселений.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3. Объем и размеры субвенций из областного бюджета бюджетам муниципальных районов на осуществление органами местного самоуправления муниципальных районов полномочий органов государственной власти области, указанных в части 1 настоящей статьи, определяются в соответствии с приложением 1 к настоящему Закону.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4. Распределение дотаций на выравнивание бюджетной обеспеченности поселений за счет субвенций из областного бюджета между поселениями, имеющими право на получение указанных дотаций, осуществляется в соответствии с приложением 1 к </w:t>
      </w:r>
      <w:r w:rsidRPr="0043320E">
        <w:rPr>
          <w:rFonts w:ascii="Times New Roman" w:hAnsi="Times New Roman" w:cs="Times New Roman"/>
          <w:sz w:val="24"/>
          <w:szCs w:val="24"/>
        </w:rPr>
        <w:lastRenderedPageBreak/>
        <w:t>настоящему Закону и утверждается решением представительного органа муниципального района о бюджете муниципального района. Перечень поселений, имеющих право на получение указанных дотаций, утверждается законом области об областном бюджете.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5. При осуществлении переданных в соответствии с настоящей статьей государственных полномочий органы местного самоуправления муниципальных районов: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вправе получать субвенции из областного бюджета на осуществление переданных государственных полномочий;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обязаны исполнять в установленном законодательством порядке переданные государственные полномочия, обеспечивать целевое расходование субвенций из областного бюджета на их осуществление, представлять по запросам финансового органа области, органа внутреннего государственного финансового контроля области документы и информацию, связанные с осуществлением указанных полномочий.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При осуществлении органами местного самоуправления муниципальных районов переданных в соответствии с настоящей статьей государственных полномочий органы государственной власти области: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вправе издавать в пределах своей компетенции нормативные правовые акты по вопросам осуществления органами местного самоуправления муниципальных районов переданных государственных полномочий, запрашивать у органов местного самоуправления муниципальных районов информацию об использовании субвенций на осуществление ими указанных полномочий;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обязаны предоставлять органам местного самоуправления муниципальных районов субвенции на осуществление переданных государственных полномочий, оказывать методическую помощь органам местного самоуправления муниципальных районов по вопросам осуществления указанных полномочий.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осуществлением органами местного самоуправления муниципальных районов переданных в соответствии с настоящей статьей государственных полномочий осуществляется финансовым органом области. В целях осуществления контроля финансовый орган области вправе: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запрашивать и получать документы и иную информацию по вопросам осуществления переданных государственных полномочий;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проводить проверки деятельности органов местного самоуправления муниципальных районов в части осуществления переданных государственных полномочий;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давать обязательные для исполнения указания органам местного самоуправления муниципальных районов по вопросам осуществления переданных государственных полномочий.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3320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целевым использованием субвенций, предоставленных на осуществление переданных государственных полномочий, осуществляет орган внутреннего государственного финансового контроля области.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 xml:space="preserve">7. Отчетность органов местного самоуправления муниципальных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районов</w:t>
      </w:r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об осуществлении переданных в соответствии с настоящей статьей государственных полномочий устанавливается в виде ежемесячных отчетов о расходовании субвенций из областного бюджета на исполнение переданных государственных полномочий по расчету и предоставлению дотаций поселениям по форме, утверждаемой Правительством области.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lastRenderedPageBreak/>
        <w:t>8. Исполнение переданных в соответствии с настоящей статьей государственных полномочий может быть прекращено законом области по следующим основаниям: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 случае изменения бюджетного законодательства Российской Федерации, в результате которого исполнение органами местного самоуправления муниципальных районов переданных государственных полномочий становится невозможным;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 случае неисполнения, ненадлежащего исполнения органами местного самоуправления переданных государственных полномочий;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 случае нецелесообразности осуществления органами местного самоуправления переданных государственных полномочий.</w:t>
      </w:r>
    </w:p>
    <w:p w:rsidR="00C84A0D" w:rsidRPr="0043320E" w:rsidRDefault="00C84A0D" w:rsidP="007A1DDD">
      <w:pPr>
        <w:spacing w:before="220" w:after="0" w:line="22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Прекращение осуществления органами местного самоуправления муниципальных районов переданных в соответствии с настоящей статьей государственных полномочий влечет за собой возврат неиспользованных финансовых средств, предоставленных на осуществление указанных полномочий.</w:t>
      </w:r>
    </w:p>
    <w:p w:rsidR="00C84A0D" w:rsidRDefault="00C84A0D" w:rsidP="007A1D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2CA6" w:rsidRDefault="00442CA6" w:rsidP="00442CA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Статья 14. Дотации на выравнивание бюджетной обеспеченности поселений из бюджета муниципального района</w:t>
      </w:r>
    </w:p>
    <w:p w:rsidR="00442CA6" w:rsidRPr="00442CA6" w:rsidRDefault="00442CA6" w:rsidP="00442C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CA6">
        <w:rPr>
          <w:rFonts w:ascii="Times New Roman" w:hAnsi="Times New Roman" w:cs="Times New Roman"/>
          <w:bCs/>
          <w:sz w:val="24"/>
          <w:szCs w:val="24"/>
        </w:rPr>
        <w:t>1. Дотации на выравнивание бюджетной обеспеченности поселений из бюджета муниципального района образуют районный фонд финансовой поддержки поселений.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CA6">
        <w:rPr>
          <w:rFonts w:ascii="Times New Roman" w:hAnsi="Times New Roman" w:cs="Times New Roman"/>
          <w:bCs/>
          <w:sz w:val="24"/>
          <w:szCs w:val="24"/>
        </w:rPr>
        <w:t>2. Дотации на выравнивание бюджетной обеспеченности поселений из бюджета муниципального района формируются за счет: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5"/>
      <w:bookmarkEnd w:id="1"/>
      <w:r w:rsidRPr="00442CA6">
        <w:rPr>
          <w:rFonts w:ascii="Times New Roman" w:hAnsi="Times New Roman" w:cs="Times New Roman"/>
          <w:bCs/>
          <w:sz w:val="24"/>
          <w:szCs w:val="24"/>
        </w:rPr>
        <w:t>1) собственных доходов и источников финансирования дефицита бюджета муниципального района;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Par6"/>
      <w:bookmarkEnd w:id="2"/>
      <w:r w:rsidRPr="00442CA6">
        <w:rPr>
          <w:rFonts w:ascii="Times New Roman" w:hAnsi="Times New Roman" w:cs="Times New Roman"/>
          <w:bCs/>
          <w:sz w:val="24"/>
          <w:szCs w:val="24"/>
        </w:rPr>
        <w:t xml:space="preserve">2) субвенций из областного бюджета на осуществление органами местного самоуправления муниципальных </w:t>
      </w:r>
      <w:proofErr w:type="gramStart"/>
      <w:r w:rsidRPr="00442CA6">
        <w:rPr>
          <w:rFonts w:ascii="Times New Roman" w:hAnsi="Times New Roman" w:cs="Times New Roman"/>
          <w:bCs/>
          <w:sz w:val="24"/>
          <w:szCs w:val="24"/>
        </w:rPr>
        <w:t>районов полномочий органов государственной власти области</w:t>
      </w:r>
      <w:proofErr w:type="gramEnd"/>
      <w:r w:rsidRPr="00442CA6">
        <w:rPr>
          <w:rFonts w:ascii="Times New Roman" w:hAnsi="Times New Roman" w:cs="Times New Roman"/>
          <w:bCs/>
          <w:sz w:val="24"/>
          <w:szCs w:val="24"/>
        </w:rPr>
        <w:t xml:space="preserve"> по расчету и предоставлению дотаций поселениям.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CA6">
        <w:rPr>
          <w:rFonts w:ascii="Times New Roman" w:hAnsi="Times New Roman" w:cs="Times New Roman"/>
          <w:bCs/>
          <w:sz w:val="24"/>
          <w:szCs w:val="24"/>
        </w:rPr>
        <w:t xml:space="preserve">3. Определение объемов районных фондов финансовой поддержки поселений и распределение дотаций на выравнивание бюджетной обеспеченности поселений из бюджета муниципального района в части, указанной в </w:t>
      </w:r>
      <w:hyperlink w:anchor="Par5" w:history="1">
        <w:r w:rsidRPr="00442CA6">
          <w:rPr>
            <w:rFonts w:ascii="Times New Roman" w:hAnsi="Times New Roman" w:cs="Times New Roman"/>
            <w:bCs/>
            <w:sz w:val="24"/>
            <w:szCs w:val="24"/>
          </w:rPr>
          <w:t>пункте 1 части 2</w:t>
        </w:r>
      </w:hyperlink>
      <w:r w:rsidRPr="00442CA6">
        <w:rPr>
          <w:rFonts w:ascii="Times New Roman" w:hAnsi="Times New Roman" w:cs="Times New Roman"/>
          <w:bCs/>
          <w:sz w:val="24"/>
          <w:szCs w:val="24"/>
        </w:rPr>
        <w:t xml:space="preserve"> настоящей статьи, осуществляются в </w:t>
      </w:r>
      <w:hyperlink r:id="rId4" w:history="1">
        <w:r w:rsidRPr="00442CA6">
          <w:rPr>
            <w:rFonts w:ascii="Times New Roman" w:hAnsi="Times New Roman" w:cs="Times New Roman"/>
            <w:bCs/>
            <w:sz w:val="24"/>
            <w:szCs w:val="24"/>
          </w:rPr>
          <w:t>порядке</w:t>
        </w:r>
      </w:hyperlink>
      <w:r w:rsidRPr="00442CA6">
        <w:rPr>
          <w:rFonts w:ascii="Times New Roman" w:hAnsi="Times New Roman" w:cs="Times New Roman"/>
          <w:bCs/>
          <w:sz w:val="24"/>
          <w:szCs w:val="24"/>
        </w:rPr>
        <w:t>, определенном в приложении 6 к настоящему Закону.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CA6">
        <w:rPr>
          <w:rFonts w:ascii="Times New Roman" w:hAnsi="Times New Roman" w:cs="Times New Roman"/>
          <w:bCs/>
          <w:sz w:val="24"/>
          <w:szCs w:val="24"/>
        </w:rPr>
        <w:t xml:space="preserve">4. Распределение дотаций на выравнивание бюджетной обеспеченности поселений из бюджета муниципального района в части, указанной в </w:t>
      </w:r>
      <w:hyperlink w:anchor="Par6" w:history="1">
        <w:r w:rsidRPr="00442CA6">
          <w:rPr>
            <w:rFonts w:ascii="Times New Roman" w:hAnsi="Times New Roman" w:cs="Times New Roman"/>
            <w:bCs/>
            <w:sz w:val="24"/>
            <w:szCs w:val="24"/>
          </w:rPr>
          <w:t>пункте 2 части 2</w:t>
        </w:r>
      </w:hyperlink>
      <w:r w:rsidRPr="00442CA6">
        <w:rPr>
          <w:rFonts w:ascii="Times New Roman" w:hAnsi="Times New Roman" w:cs="Times New Roman"/>
          <w:bCs/>
          <w:sz w:val="24"/>
          <w:szCs w:val="24"/>
        </w:rPr>
        <w:t xml:space="preserve"> настоящей статьи, осуществляется в порядке, установленном </w:t>
      </w:r>
      <w:hyperlink r:id="rId5" w:history="1">
        <w:r w:rsidRPr="00442CA6">
          <w:rPr>
            <w:rFonts w:ascii="Times New Roman" w:hAnsi="Times New Roman" w:cs="Times New Roman"/>
            <w:bCs/>
            <w:sz w:val="24"/>
            <w:szCs w:val="24"/>
          </w:rPr>
          <w:t>статьей 8</w:t>
        </w:r>
      </w:hyperlink>
      <w:r w:rsidRPr="00442CA6">
        <w:rPr>
          <w:rFonts w:ascii="Times New Roman" w:hAnsi="Times New Roman" w:cs="Times New Roman"/>
          <w:bCs/>
          <w:sz w:val="24"/>
          <w:szCs w:val="24"/>
        </w:rPr>
        <w:t xml:space="preserve"> настоящего Закона.</w:t>
      </w:r>
    </w:p>
    <w:p w:rsidR="00442CA6" w:rsidRPr="00442CA6" w:rsidRDefault="00442CA6" w:rsidP="00442CA6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2CA6">
        <w:rPr>
          <w:rFonts w:ascii="Times New Roman" w:hAnsi="Times New Roman" w:cs="Times New Roman"/>
          <w:bCs/>
          <w:sz w:val="24"/>
          <w:szCs w:val="24"/>
        </w:rPr>
        <w:t>5. Объем и распределение дотаций на выравнивание бюджетной обеспеченности поселений из бюджета муниципального района утверждаются решением представительного органа муниципального района о бюджете муниципального района.</w:t>
      </w:r>
    </w:p>
    <w:p w:rsidR="00442CA6" w:rsidRPr="0043320E" w:rsidRDefault="00442CA6" w:rsidP="007A1DD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C84A0D" w:rsidRPr="0043320E" w:rsidRDefault="00C84A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к Закону</w:t>
      </w:r>
    </w:p>
    <w:p w:rsidR="00C84A0D" w:rsidRPr="0043320E" w:rsidRDefault="00C84A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Саратовской области</w:t>
      </w:r>
    </w:p>
    <w:p w:rsidR="00C84A0D" w:rsidRPr="0043320E" w:rsidRDefault="00C84A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"О межбюджетных отношениях</w:t>
      </w:r>
    </w:p>
    <w:p w:rsidR="00C84A0D" w:rsidRPr="0043320E" w:rsidRDefault="00C84A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в Саратовской области"</w:t>
      </w: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ПОРЯДОК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ОПРЕДЕЛЕНИЯ КРИТЕРИЕВ ВЫРАВНИВАНИЯ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ФИНАНСОВЫХ ВОЗМОЖНОСТЕЙ ПОСЕЛЕНИЙ, ПОРЯДОК РАСПРЕДЕЛЕНИЯ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lastRenderedPageBreak/>
        <w:t xml:space="preserve">ДОТАЦИЙ ИЗ ОБЛАСТНОГО БЮДЖЕТА НА ВЫРАВНИВАНИЕ </w:t>
      </w:r>
      <w:proofErr w:type="gramStart"/>
      <w:r w:rsidRPr="0043320E">
        <w:rPr>
          <w:rFonts w:ascii="Times New Roman" w:hAnsi="Times New Roman" w:cs="Times New Roman"/>
          <w:sz w:val="24"/>
          <w:szCs w:val="24"/>
        </w:rPr>
        <w:t>БЮДЖЕТНОЙ</w:t>
      </w:r>
      <w:proofErr w:type="gramEnd"/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ОБЕСПЕЧЕННОСТИ ПОСЕЛЕНИЙ, РАСЧЕТА СУБВЕНЦИЙ БЮДЖЕТАМ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МУНИЦИПАЛЬНЫХ РАЙОНОВ НА ОСУЩЕСТВЛЕНИЕ ГОСУДАРСТВЕННЫХ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ПОЛНОМОЧИЙ ПО РАСЧЕТУ И ПРЕДОСТАВЛЕНИЮ ДОТАЦИЙ БЮДЖЕТАМ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ПОСЕЛЕНИЙ ЗА СЧЕТ СРЕДСТВ ОБЛАСТНОГО БЮДЖЕТА И РАСЧЕТА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ОРГАНАМИ МЕСТНОГО САМОУПРАВЛЕНИЯ МУНИЦИПАЛЬНЫХ РАЙОНОВ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РАЗМЕРА ДОТАЦИЙ БЮДЖЕТАМ ПОСЕЛЕНИЙ ЗА СЧЕТ СРЕДСТВ</w:t>
      </w:r>
    </w:p>
    <w:p w:rsidR="00C84A0D" w:rsidRPr="0043320E" w:rsidRDefault="00C84A0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ОБЛАСТНОГО БЮДЖЕТА</w:t>
      </w: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3. Определение размера дотаций из бюджета муниципального района на выравнивание бюджетной обеспеченности поселений в части, формируемой за счет субвенций из областного бюджета</w:t>
      </w:r>
    </w:p>
    <w:p w:rsidR="00C84A0D" w:rsidRPr="0043320E" w:rsidRDefault="00C84A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sz w:val="24"/>
          <w:szCs w:val="24"/>
        </w:rPr>
        <w:t>Размер дотации из бюджета муниципального района за счет субвенции из областного бюджета бюджету поселения рассчитывается по формуле:</w:t>
      </w: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3320E">
        <w:rPr>
          <w:rFonts w:ascii="Times New Roman" w:hAnsi="Times New Roman" w:cs="Times New Roman"/>
          <w:position w:val="-26"/>
          <w:sz w:val="24"/>
          <w:szCs w:val="24"/>
        </w:rPr>
        <w:pict>
          <v:shape id="_x0000_i1025" style="width:162pt;height:37.2pt" coordsize="" o:spt="100" adj="0,,0" path="" filled="f" stroked="f">
            <v:stroke joinstyle="miter"/>
            <v:imagedata r:id="rId6" o:title="base_23910_116519_32776"/>
            <v:formulas/>
            <v:path o:connecttype="segments"/>
          </v:shape>
        </w:pict>
      </w: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84A0D" w:rsidRPr="0043320E" w:rsidRDefault="00C84A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320E">
        <w:rPr>
          <w:rFonts w:ascii="Times New Roman" w:hAnsi="Times New Roman" w:cs="Times New Roman"/>
          <w:sz w:val="24"/>
          <w:szCs w:val="24"/>
        </w:rPr>
        <w:t>Дот</w:t>
      </w:r>
      <w:r w:rsidRPr="0043320E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gramStart"/>
      <w:r w:rsidRPr="0043320E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- расчетный размер дотации </w:t>
      </w:r>
      <w:proofErr w:type="spellStart"/>
      <w:r w:rsidRPr="0043320E">
        <w:rPr>
          <w:rFonts w:ascii="Times New Roman" w:hAnsi="Times New Roman" w:cs="Times New Roman"/>
          <w:sz w:val="24"/>
          <w:szCs w:val="24"/>
        </w:rPr>
        <w:t>j-му</w:t>
      </w:r>
      <w:proofErr w:type="spellEnd"/>
      <w:r w:rsidRPr="0043320E">
        <w:rPr>
          <w:rFonts w:ascii="Times New Roman" w:hAnsi="Times New Roman" w:cs="Times New Roman"/>
          <w:sz w:val="24"/>
          <w:szCs w:val="24"/>
        </w:rPr>
        <w:t xml:space="preserve"> поселению из бюджета муниципального района за счет субвенции из областного бюджета;</w:t>
      </w:r>
    </w:p>
    <w:p w:rsidR="00C84A0D" w:rsidRPr="0043320E" w:rsidRDefault="00C84A0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320E">
        <w:rPr>
          <w:rFonts w:ascii="Times New Roman" w:hAnsi="Times New Roman" w:cs="Times New Roman"/>
          <w:sz w:val="24"/>
          <w:szCs w:val="24"/>
        </w:rPr>
        <w:t>РФФПП</w:t>
      </w:r>
      <w:r w:rsidRPr="0043320E">
        <w:rPr>
          <w:rFonts w:ascii="Times New Roman" w:hAnsi="Times New Roman" w:cs="Times New Roman"/>
          <w:sz w:val="24"/>
          <w:szCs w:val="24"/>
          <w:vertAlign w:val="superscript"/>
        </w:rPr>
        <w:t>фк</w:t>
      </w:r>
      <w:proofErr w:type="spellEnd"/>
      <w:r w:rsidRPr="0043320E">
        <w:rPr>
          <w:rFonts w:ascii="Times New Roman" w:hAnsi="Times New Roman" w:cs="Times New Roman"/>
          <w:sz w:val="24"/>
          <w:szCs w:val="24"/>
        </w:rPr>
        <w:t xml:space="preserve"> - объем дотаций из бюджета муниципального района на выравнивание бюджетной обеспеченности поселений в части, формируемой за счет субвенций из областного бюджета </w:t>
      </w:r>
      <w:r w:rsidRPr="0043320E">
        <w:rPr>
          <w:rFonts w:ascii="Times New Roman" w:hAnsi="Times New Roman" w:cs="Times New Roman"/>
          <w:position w:val="-11"/>
          <w:sz w:val="24"/>
          <w:szCs w:val="24"/>
        </w:rPr>
        <w:pict>
          <v:shape id="_x0000_i1026" style="width:118.8pt;height:22.2pt" coordsize="" o:spt="100" adj="0,,0" path="" filled="f" stroked="f">
            <v:stroke joinstyle="miter"/>
            <v:imagedata r:id="rId7" o:title="base_23910_116519_32777"/>
            <v:formulas/>
            <v:path o:connecttype="segments"/>
          </v:shape>
        </w:pict>
      </w:r>
      <w:r w:rsidRPr="0043320E">
        <w:rPr>
          <w:rFonts w:ascii="Times New Roman" w:hAnsi="Times New Roman" w:cs="Times New Roman"/>
          <w:sz w:val="24"/>
          <w:szCs w:val="24"/>
        </w:rPr>
        <w:t>;</w:t>
      </w:r>
    </w:p>
    <w:p w:rsidR="002B51A8" w:rsidRDefault="00C84A0D" w:rsidP="002B51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3320E">
        <w:rPr>
          <w:rFonts w:ascii="Times New Roman" w:hAnsi="Times New Roman" w:cs="Times New Roman"/>
          <w:sz w:val="24"/>
          <w:szCs w:val="24"/>
        </w:rPr>
        <w:t>Н</w:t>
      </w:r>
      <w:r w:rsidRPr="0043320E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proofErr w:type="gramStart"/>
      <w:r w:rsidRPr="0043320E">
        <w:rPr>
          <w:rFonts w:ascii="Times New Roman" w:hAnsi="Times New Roman" w:cs="Times New Roman"/>
          <w:sz w:val="24"/>
          <w:szCs w:val="24"/>
          <w:vertAlign w:val="subscript"/>
        </w:rPr>
        <w:t>j</w:t>
      </w:r>
      <w:proofErr w:type="spellEnd"/>
      <w:proofErr w:type="gramEnd"/>
      <w:r w:rsidRPr="0043320E">
        <w:rPr>
          <w:rFonts w:ascii="Times New Roman" w:hAnsi="Times New Roman" w:cs="Times New Roman"/>
          <w:sz w:val="24"/>
          <w:szCs w:val="24"/>
        </w:rPr>
        <w:t xml:space="preserve"> - численность постоянного населения j-го поселения соответствующего муниципального района на 1 января текущего года.</w:t>
      </w:r>
    </w:p>
    <w:p w:rsidR="002B51A8" w:rsidRPr="0043320E" w:rsidRDefault="002B51A8" w:rsidP="002B51A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пмр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43320E">
        <w:rPr>
          <w:rFonts w:ascii="Times New Roman" w:hAnsi="Times New Roman" w:cs="Times New Roman"/>
          <w:sz w:val="24"/>
          <w:szCs w:val="24"/>
        </w:rPr>
        <w:t>- суммарная численность постоянного населения поселений муниципального района, имеющих право на получение дотаций за счет субвенции из областного бюджета, на 1 января текущего года.</w:t>
      </w:r>
    </w:p>
    <w:p w:rsidR="00C84A0D" w:rsidRPr="0043320E" w:rsidRDefault="00C84A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C84A0D" w:rsidRPr="0043320E" w:rsidSect="00263E45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4A0D"/>
    <w:rsid w:val="00017BED"/>
    <w:rsid w:val="00041653"/>
    <w:rsid w:val="001C1F1D"/>
    <w:rsid w:val="00263E45"/>
    <w:rsid w:val="002B51A8"/>
    <w:rsid w:val="0043320E"/>
    <w:rsid w:val="00442CA6"/>
    <w:rsid w:val="004D1C65"/>
    <w:rsid w:val="005F460D"/>
    <w:rsid w:val="00783FB6"/>
    <w:rsid w:val="007A1DDD"/>
    <w:rsid w:val="007F6994"/>
    <w:rsid w:val="0088241C"/>
    <w:rsid w:val="00922A80"/>
    <w:rsid w:val="009A08A1"/>
    <w:rsid w:val="00C84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4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84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5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1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620C58DE6BAA3DE3E94CFA5AADDF0D90E75B99E0D13069890F880F29A7E45FDC96FE7DDF0693D7A9B0C0AB38FB4255962E6C7D99A2B20784867DF90125r5I" TargetMode="External"/><Relationship Id="rId4" Type="http://schemas.openxmlformats.org/officeDocument/2006/relationships/hyperlink" Target="consultantplus://offline/ref=620C58DE6BAA3DE3E94CFA5AADDF0D90E75B99E0D13069890F880F29A7E45FDC96FE7DDF0693D7A9B0C0AD34F14255962E6C7D99A2B20784867DF90125r5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1594</Words>
  <Characters>9086</Characters>
  <Application>Microsoft Office Word</Application>
  <DocSecurity>0</DocSecurity>
  <Lines>75</Lines>
  <Paragraphs>21</Paragraphs>
  <ScaleCrop>false</ScaleCrop>
  <Company/>
  <LinksUpToDate>false</LinksUpToDate>
  <CharactersWithSpaces>10659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Геннадьевна Бурченкова</dc:creator>
  <cp:lastModifiedBy>Дарья Геннадьевна Бурченкова</cp:lastModifiedBy>
  <cp:revision>15</cp:revision>
  <dcterms:created xsi:type="dcterms:W3CDTF">2019-11-07T08:33:00Z</dcterms:created>
  <dcterms:modified xsi:type="dcterms:W3CDTF">2019-11-07T08:53:00Z</dcterms:modified>
</cp:coreProperties>
</file>